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Pre-Deposit Go / No-Go</w:t>
      </w:r>
    </w:p>
    <w:p>
      <w:pPr>
        <w:pStyle w:val="Subtitle"/>
      </w:pPr>
      <w:r>
        <w:t xml:space="preserve">Australian</w:t>
      </w:r>
      <w:r>
        <w:t xml:space="preserve"> </w:t>
      </w:r>
      <w:r>
        <w:t xml:space="preserve">Tiny</w:t>
      </w:r>
      <w:r>
        <w:t xml:space="preserve"> </w:t>
      </w:r>
      <w:r>
        <w:t xml:space="preserve">Home</w:t>
      </w:r>
      <w:r>
        <w:t xml:space="preserve"> </w:t>
      </w:r>
      <w:r>
        <w:t xml:space="preserve">Buyer's</w:t>
      </w:r>
      <w:r>
        <w:t xml:space="preserve"> </w:t>
      </w:r>
      <w:r>
        <w:t xml:space="preserve">Toolkit</w:t>
      </w:r>
      <w:r>
        <w:t xml:space="preserve"> </w:t>
      </w:r>
      <w:r>
        <w:t xml:space="preserve">|</w:t>
      </w:r>
      <w:r>
        <w:t xml:space="preserve"> </w:t>
      </w:r>
      <w:r>
        <w:t xml:space="preserve">Version</w:t>
      </w:r>
      <w:r>
        <w:t xml:space="preserve"> </w:t>
      </w:r>
      <w:r>
        <w:t xml:space="preserve">1.0</w:t>
      </w:r>
      <w:r>
        <w:t xml:space="preserve"> </w:t>
      </w:r>
      <w:r>
        <w:t xml:space="preserve">|</w:t>
      </w:r>
      <w:r>
        <w:t xml:space="preserve"> </w:t>
      </w:r>
      <w:r>
        <w:t xml:space="preserve">July</w:t>
      </w:r>
      <w:r>
        <w:t xml:space="preserve"> </w:t>
      </w:r>
      <w:r>
        <w:t xml:space="preserve">2026</w:t>
      </w:r>
    </w:p>
    <w:bookmarkStart w:id="20" w:name="read-this-before-you-transfer-any-money"/>
    <w:p>
      <w:pPr>
        <w:pStyle w:val="Heading2"/>
      </w:pPr>
      <w:r>
        <w:t xml:space="preserve">Read this before you transfer any money</w:t>
      </w:r>
    </w:p>
    <w:p>
      <w:pPr>
        <w:pStyle w:val="FirstParagraph"/>
      </w:pPr>
      <w:r>
        <w:t xml:space="preserve">Print it. Put it somewhere you will see it.</w:t>
      </w:r>
    </w:p>
    <w:p>
      <w:pPr>
        <w:pStyle w:val="BodyText"/>
      </w:pPr>
      <w:r>
        <w:t xml:space="preserve">Once the deposit clears, almost all of your leverage is gone. Everything below is cheap to do now and expensive or impossible to do later.</w:t>
      </w:r>
    </w:p>
    <w:p>
      <w:pPr>
        <w:pStyle w:val="BodyText"/>
      </w:pPr>
      <w:r>
        <w:rPr>
          <w:bCs/>
          <w:b/>
        </w:rPr>
        <w:t xml:space="preserve">Property:</w:t>
      </w:r>
      <w:r>
        <w:t xml:space="preserve"> </w:t>
      </w:r>
      <w:r>
        <w:t xml:space="preserve">________________________________</w:t>
      </w:r>
    </w:p>
    <w:p>
      <w:pPr>
        <w:pStyle w:val="BodyText"/>
      </w:pPr>
      <w:r>
        <w:rPr>
          <w:bCs/>
          <w:b/>
        </w:rPr>
        <w:t xml:space="preserve">Supplier:</w:t>
      </w:r>
      <w:r>
        <w:t xml:space="preserve"> </w:t>
      </w:r>
      <w:r>
        <w:t xml:space="preserve">________________________________</w:t>
      </w:r>
    </w:p>
    <w:p>
      <w:pPr>
        <w:pStyle w:val="BodyText"/>
      </w:pPr>
      <w:r>
        <w:rPr>
          <w:bCs/>
          <w:b/>
        </w:rPr>
        <w:t xml:space="preserve">Deposit amount:</w:t>
      </w:r>
      <w:r>
        <w:t xml:space="preserve"> </w:t>
      </w:r>
      <w:r>
        <w:t xml:space="preserve">$______________</w:t>
      </w:r>
      <w:r>
        <w:t xml:space="preserve"> </w:t>
      </w:r>
      <w:r>
        <w:rPr>
          <w:bCs/>
          <w:b/>
        </w:rPr>
        <w:t xml:space="preserve">Date:</w:t>
      </w:r>
      <w:r>
        <w:t xml:space="preserve"> </w:t>
      </w:r>
      <w:r>
        <w:t xml:space="preserve">____________</w:t>
      </w:r>
    </w:p>
    <w:p>
      <w:r>
        <w:pict>
          <v:rect style="width:0;height:1.5pt" o:hralign="center" o:hrstd="t" o:hr="t"/>
        </w:pict>
      </w:r>
    </w:p>
    <w:bookmarkEnd w:id="20"/>
    <w:bookmarkStart w:id="21" w:name="part-1-the-hard-stops"/>
    <w:p>
      <w:pPr>
        <w:pStyle w:val="Heading2"/>
      </w:pPr>
      <w:r>
        <w:t xml:space="preserve">Part 1: The hard stops</w:t>
      </w:r>
    </w:p>
    <w:p>
      <w:pPr>
        <w:pStyle w:val="FirstParagraph"/>
      </w:pPr>
      <w:r>
        <w:t xml:space="preserve">If any of these is not a clear yes, stop. Do not proceed, do not part-pay, do not send a</w:t>
      </w:r>
      <w:r>
        <w:t xml:space="preserve"> </w:t>
      </w:r>
      <w:r>
        <w:t xml:space="preserve">“</w:t>
      </w:r>
      <w:r>
        <w:t xml:space="preserve">small deposit to secure pricing.</w:t>
      </w:r>
      <w:r>
        <w:t xml:space="preserv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Check</w:t>
            </w:r>
          </w:p>
        </w:tc>
        <w:tc>
          <w:tcPr/>
          <w:p>
            <w:pPr>
              <w:pStyle w:val="Compact"/>
              <w:jc w:val="left"/>
            </w:pPr>
            <w:r>
              <w:t xml:space="preserve">Yes</w:t>
            </w:r>
          </w:p>
        </w:tc>
      </w:tr>
      <w:tr>
        <w:tc>
          <w:tcPr/>
          <w:p>
            <w:pPr>
              <w:pStyle w:val="Compact"/>
              <w:jc w:val="left"/>
            </w:pPr>
            <w:r>
              <w:t xml:space="preserve">1</w:t>
            </w:r>
          </w:p>
        </w:tc>
        <w:tc>
          <w:tcPr/>
          <w:p>
            <w:pPr>
              <w:pStyle w:val="Compact"/>
              <w:jc w:val="left"/>
            </w:pPr>
            <w:r>
              <w:t xml:space="preserve">I have spoken to my council about this specific address</w:t>
            </w:r>
          </w:p>
        </w:tc>
        <w:tc>
          <w:tcPr/>
          <w:p>
            <w:pPr>
              <w:pStyle w:val="Compact"/>
              <w:jc w:val="left"/>
            </w:pPr>
            <w:r>
              <w:t xml:space="preserve">☐</w:t>
            </w:r>
          </w:p>
        </w:tc>
      </w:tr>
      <w:tr>
        <w:tc>
          <w:tcPr/>
          <w:p>
            <w:pPr>
              <w:pStyle w:val="Compact"/>
              <w:jc w:val="left"/>
            </w:pPr>
            <w:r>
              <w:t xml:space="preserve">2</w:t>
            </w:r>
          </w:p>
        </w:tc>
        <w:tc>
          <w:tcPr/>
          <w:p>
            <w:pPr>
              <w:pStyle w:val="Compact"/>
              <w:jc w:val="left"/>
            </w:pPr>
            <w:r>
              <w:t xml:space="preserve">Council confirmed a dwelling of this type and size is permitted on this lot</w:t>
            </w:r>
          </w:p>
        </w:tc>
        <w:tc>
          <w:tcPr/>
          <w:p>
            <w:pPr>
              <w:pStyle w:val="Compact"/>
              <w:jc w:val="left"/>
            </w:pPr>
            <w:r>
              <w:t xml:space="preserve">☐</w:t>
            </w:r>
          </w:p>
        </w:tc>
      </w:tr>
      <w:tr>
        <w:tc>
          <w:tcPr/>
          <w:p>
            <w:pPr>
              <w:pStyle w:val="Compact"/>
              <w:jc w:val="left"/>
            </w:pPr>
            <w:r>
              <w:t xml:space="preserve">3</w:t>
            </w:r>
          </w:p>
        </w:tc>
        <w:tc>
          <w:tcPr/>
          <w:p>
            <w:pPr>
              <w:pStyle w:val="Compact"/>
              <w:jc w:val="left"/>
            </w:pPr>
            <w:r>
              <w:t xml:space="preserve">I have that confirmation in writing, or have requested it</w:t>
            </w:r>
          </w:p>
        </w:tc>
        <w:tc>
          <w:tcPr/>
          <w:p>
            <w:pPr>
              <w:pStyle w:val="Compact"/>
              <w:jc w:val="left"/>
            </w:pPr>
            <w:r>
              <w:t xml:space="preserve">☐</w:t>
            </w:r>
          </w:p>
        </w:tc>
      </w:tr>
      <w:tr>
        <w:tc>
          <w:tcPr/>
          <w:p>
            <w:pPr>
              <w:pStyle w:val="Compact"/>
              <w:jc w:val="left"/>
            </w:pPr>
            <w:r>
              <w:t xml:space="preserve">4</w:t>
            </w:r>
          </w:p>
        </w:tc>
        <w:tc>
          <w:tcPr/>
          <w:p>
            <w:pPr>
              <w:pStyle w:val="Compact"/>
              <w:jc w:val="left"/>
            </w:pPr>
            <w:r>
              <w:t xml:space="preserve">I have a soil test, or have one booked</w:t>
            </w:r>
          </w:p>
        </w:tc>
        <w:tc>
          <w:tcPr/>
          <w:p>
            <w:pPr>
              <w:pStyle w:val="Compact"/>
              <w:jc w:val="left"/>
            </w:pPr>
            <w:r>
              <w:t xml:space="preserve">☐</w:t>
            </w:r>
          </w:p>
        </w:tc>
      </w:tr>
      <w:tr>
        <w:tc>
          <w:tcPr/>
          <w:p>
            <w:pPr>
              <w:pStyle w:val="Compact"/>
              <w:jc w:val="left"/>
            </w:pPr>
            <w:r>
              <w:t xml:space="preserve">5</w:t>
            </w:r>
          </w:p>
        </w:tc>
        <w:tc>
          <w:tcPr/>
          <w:p>
            <w:pPr>
              <w:pStyle w:val="Compact"/>
              <w:jc w:val="left"/>
            </w:pPr>
            <w:r>
              <w:t xml:space="preserve">I know whether my site has a bushfire overlay, and if so I have a BAL rating</w:t>
            </w:r>
          </w:p>
        </w:tc>
        <w:tc>
          <w:tcPr/>
          <w:p>
            <w:pPr>
              <w:pStyle w:val="Compact"/>
              <w:jc w:val="left"/>
            </w:pPr>
            <w:r>
              <w:t xml:space="preserve">☐</w:t>
            </w:r>
          </w:p>
        </w:tc>
      </w:tr>
      <w:tr>
        <w:tc>
          <w:tcPr/>
          <w:p>
            <w:pPr>
              <w:pStyle w:val="Compact"/>
              <w:jc w:val="left"/>
            </w:pPr>
            <w:r>
              <w:t xml:space="preserve">6</w:t>
            </w:r>
          </w:p>
        </w:tc>
        <w:tc>
          <w:tcPr/>
          <w:p>
            <w:pPr>
              <w:pStyle w:val="Compact"/>
              <w:jc w:val="left"/>
            </w:pPr>
            <w:r>
              <w:t xml:space="preserve">I have verified the supplier’s company registration on gsxt.gov.cn</w:t>
            </w:r>
          </w:p>
        </w:tc>
        <w:tc>
          <w:tcPr/>
          <w:p>
            <w:pPr>
              <w:pStyle w:val="Compact"/>
              <w:jc w:val="left"/>
            </w:pPr>
            <w:r>
              <w:t xml:space="preserve">☐</w:t>
            </w:r>
          </w:p>
        </w:tc>
      </w:tr>
      <w:tr>
        <w:tc>
          <w:tcPr/>
          <w:p>
            <w:pPr>
              <w:pStyle w:val="Compact"/>
              <w:jc w:val="left"/>
            </w:pPr>
            <w:r>
              <w:t xml:space="preserve">7</w:t>
            </w:r>
          </w:p>
        </w:tc>
        <w:tc>
          <w:tcPr/>
          <w:p>
            <w:pPr>
              <w:pStyle w:val="Compact"/>
              <w:jc w:val="left"/>
            </w:pPr>
            <w:r>
              <w:t xml:space="preserve">The registered name matches the licence AND the receiving bank account</w:t>
            </w:r>
          </w:p>
        </w:tc>
        <w:tc>
          <w:tcPr/>
          <w:p>
            <w:pPr>
              <w:pStyle w:val="Compact"/>
              <w:jc w:val="left"/>
            </w:pPr>
            <w:r>
              <w:t xml:space="preserve">☐</w:t>
            </w:r>
          </w:p>
        </w:tc>
      </w:tr>
      <w:tr>
        <w:tc>
          <w:tcPr/>
          <w:p>
            <w:pPr>
              <w:pStyle w:val="Compact"/>
              <w:jc w:val="left"/>
            </w:pPr>
            <w:r>
              <w:t xml:space="preserve">8</w:t>
            </w:r>
          </w:p>
        </w:tc>
        <w:tc>
          <w:tcPr/>
          <w:p>
            <w:pPr>
              <w:pStyle w:val="Compact"/>
              <w:jc w:val="left"/>
            </w:pPr>
            <w:r>
              <w:t xml:space="preserve">I have the structural engineering report to the Australian wind standard</w:t>
            </w:r>
          </w:p>
        </w:tc>
        <w:tc>
          <w:tcPr/>
          <w:p>
            <w:pPr>
              <w:pStyle w:val="Compact"/>
              <w:jc w:val="left"/>
            </w:pPr>
            <w:r>
              <w:t xml:space="preserve">☐</w:t>
            </w:r>
          </w:p>
        </w:tc>
      </w:tr>
      <w:tr>
        <w:tc>
          <w:tcPr/>
          <w:p>
            <w:pPr>
              <w:pStyle w:val="Compact"/>
              <w:jc w:val="left"/>
            </w:pPr>
            <w:r>
              <w:t xml:space="preserve">9</w:t>
            </w:r>
          </w:p>
        </w:tc>
        <w:tc>
          <w:tcPr/>
          <w:p>
            <w:pPr>
              <w:pStyle w:val="Compact"/>
              <w:jc w:val="left"/>
            </w:pPr>
            <w:r>
              <w:t xml:space="preserve">A building certifier has reviewed the supplier’s documentation</w:t>
            </w:r>
          </w:p>
        </w:tc>
        <w:tc>
          <w:tcPr/>
          <w:p>
            <w:pPr>
              <w:pStyle w:val="Compact"/>
              <w:jc w:val="left"/>
            </w:pPr>
            <w:r>
              <w:t xml:space="preserve">☐</w:t>
            </w:r>
          </w:p>
        </w:tc>
      </w:tr>
      <w:tr>
        <w:tc>
          <w:tcPr/>
          <w:p>
            <w:pPr>
              <w:pStyle w:val="Compact"/>
              <w:jc w:val="left"/>
            </w:pPr>
            <w:r>
              <w:t xml:space="preserve">10</w:t>
            </w:r>
          </w:p>
        </w:tc>
        <w:tc>
          <w:tcPr/>
          <w:p>
            <w:pPr>
              <w:pStyle w:val="Compact"/>
              <w:jc w:val="left"/>
            </w:pPr>
            <w:r>
              <w:t xml:space="preserve">I have written agreement on asbestos testing and who pays if it fails</w:t>
            </w:r>
          </w:p>
        </w:tc>
        <w:tc>
          <w:tcPr/>
          <w:p>
            <w:pPr>
              <w:pStyle w:val="Compact"/>
              <w:jc w:val="left"/>
            </w:pPr>
            <w:r>
              <w:t xml:space="preserve">☐</w:t>
            </w:r>
          </w:p>
        </w:tc>
      </w:tr>
    </w:tbl>
    <w:p>
      <w:pPr>
        <w:pStyle w:val="BodyText"/>
      </w:pPr>
      <w:r>
        <w:rPr>
          <w:bCs/>
          <w:b/>
        </w:rPr>
        <w:t xml:space="preserve">Any blank box is a stop.</w:t>
      </w:r>
      <w:r>
        <w:t xml:space="preserve"> </w:t>
      </w:r>
      <w:r>
        <w:t xml:space="preserve">Not a</w:t>
      </w:r>
      <w:r>
        <w:t xml:space="preserve"> </w:t>
      </w:r>
      <w:r>
        <w:t xml:space="preserve">“</w:t>
      </w:r>
      <w:r>
        <w:t xml:space="preserve">probably fine.</w:t>
      </w:r>
      <w:r>
        <w:t xml:space="preserve">”</w:t>
      </w:r>
      <w:r>
        <w:t xml:space="preserve"> </w:t>
      </w:r>
      <w:r>
        <w:t xml:space="preserve">A stop.</w:t>
      </w:r>
    </w:p>
    <w:p>
      <w:r>
        <w:pict>
          <v:rect style="width:0;height:1.5pt" o:hralign="center" o:hrstd="t" o:hr="t"/>
        </w:pict>
      </w:r>
    </w:p>
    <w:bookmarkEnd w:id="21"/>
    <w:bookmarkStart w:id="22" w:name="part-2-the-money"/>
    <w:p>
      <w:pPr>
        <w:pStyle w:val="Heading2"/>
      </w:pPr>
      <w:r>
        <w:t xml:space="preserve">Part 2: The money</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Check</w:t>
            </w:r>
          </w:p>
        </w:tc>
        <w:tc>
          <w:tcPr/>
          <w:p>
            <w:pPr>
              <w:pStyle w:val="Compact"/>
              <w:jc w:val="left"/>
            </w:pPr>
            <w:r>
              <w:t xml:space="preserve">Yes</w:t>
            </w:r>
          </w:p>
        </w:tc>
      </w:tr>
      <w:tr>
        <w:tc>
          <w:tcPr/>
          <w:p>
            <w:pPr>
              <w:pStyle w:val="Compact"/>
              <w:jc w:val="left"/>
            </w:pPr>
            <w:r>
              <w:t xml:space="preserve">11</w:t>
            </w:r>
          </w:p>
        </w:tc>
        <w:tc>
          <w:tcPr/>
          <w:p>
            <w:pPr>
              <w:pStyle w:val="Compact"/>
              <w:jc w:val="left"/>
            </w:pPr>
            <w:r>
              <w:t xml:space="preserve">I have completed the Landed Cost Calculator with real quotes, not defaults</w:t>
            </w:r>
          </w:p>
        </w:tc>
        <w:tc>
          <w:tcPr/>
          <w:p>
            <w:pPr>
              <w:pStyle w:val="Compact"/>
              <w:jc w:val="left"/>
            </w:pPr>
            <w:r>
              <w:t xml:space="preserve">☐</w:t>
            </w:r>
          </w:p>
        </w:tc>
      </w:tr>
      <w:tr>
        <w:tc>
          <w:tcPr/>
          <w:p>
            <w:pPr>
              <w:pStyle w:val="Compact"/>
              <w:jc w:val="left"/>
            </w:pPr>
            <w:r>
              <w:t xml:space="preserve">12</w:t>
            </w:r>
          </w:p>
        </w:tc>
        <w:tc>
          <w:tcPr/>
          <w:p>
            <w:pPr>
              <w:pStyle w:val="Compact"/>
              <w:jc w:val="left"/>
            </w:pPr>
            <w:r>
              <w:t xml:space="preserve">My total project figure includes GST, and I know whether I can claim it back</w:t>
            </w:r>
          </w:p>
        </w:tc>
        <w:tc>
          <w:tcPr/>
          <w:p>
            <w:pPr>
              <w:pStyle w:val="Compact"/>
              <w:jc w:val="left"/>
            </w:pPr>
            <w:r>
              <w:t xml:space="preserve">☐</w:t>
            </w:r>
          </w:p>
        </w:tc>
      </w:tr>
      <w:tr>
        <w:tc>
          <w:tcPr/>
          <w:p>
            <w:pPr>
              <w:pStyle w:val="Compact"/>
              <w:jc w:val="left"/>
            </w:pPr>
            <w:r>
              <w:t xml:space="preserve">13</w:t>
            </w:r>
          </w:p>
        </w:tc>
        <w:tc>
          <w:tcPr/>
          <w:p>
            <w:pPr>
              <w:pStyle w:val="Compact"/>
              <w:jc w:val="left"/>
            </w:pPr>
            <w:r>
              <w:t xml:space="preserve">I have at least 20% contingency on the total project cost, not the unit price</w:t>
            </w:r>
          </w:p>
        </w:tc>
        <w:tc>
          <w:tcPr/>
          <w:p>
            <w:pPr>
              <w:pStyle w:val="Compact"/>
              <w:jc w:val="left"/>
            </w:pPr>
            <w:r>
              <w:t xml:space="preserve">☐</w:t>
            </w:r>
          </w:p>
        </w:tc>
      </w:tr>
      <w:tr>
        <w:tc>
          <w:tcPr/>
          <w:p>
            <w:pPr>
              <w:pStyle w:val="Compact"/>
              <w:jc w:val="left"/>
            </w:pPr>
            <w:r>
              <w:t xml:space="preserve">14</w:t>
            </w:r>
          </w:p>
        </w:tc>
        <w:tc>
          <w:tcPr/>
          <w:p>
            <w:pPr>
              <w:pStyle w:val="Compact"/>
              <w:jc w:val="left"/>
            </w:pPr>
            <w:r>
              <w:t xml:space="preserve">Losing this deposit entirely would not do serious damage to my household</w:t>
            </w:r>
          </w:p>
        </w:tc>
        <w:tc>
          <w:tcPr/>
          <w:p>
            <w:pPr>
              <w:pStyle w:val="Compact"/>
              <w:jc w:val="left"/>
            </w:pPr>
            <w:r>
              <w:t xml:space="preserve">☐</w:t>
            </w:r>
          </w:p>
        </w:tc>
      </w:tr>
      <w:tr>
        <w:tc>
          <w:tcPr/>
          <w:p>
            <w:pPr>
              <w:pStyle w:val="Compact"/>
              <w:jc w:val="left"/>
            </w:pPr>
            <w:r>
              <w:t xml:space="preserve">15</w:t>
            </w:r>
          </w:p>
        </w:tc>
        <w:tc>
          <w:tcPr/>
          <w:p>
            <w:pPr>
              <w:pStyle w:val="Compact"/>
              <w:jc w:val="left"/>
            </w:pPr>
            <w:r>
              <w:t xml:space="preserve">The project still works if it costs 20% more than my current estimate</w:t>
            </w:r>
          </w:p>
        </w:tc>
        <w:tc>
          <w:tcPr/>
          <w:p>
            <w:pPr>
              <w:pStyle w:val="Compact"/>
              <w:jc w:val="left"/>
            </w:pPr>
            <w:r>
              <w:t xml:space="preserve">☐</w:t>
            </w:r>
          </w:p>
        </w:tc>
      </w:tr>
      <w:tr>
        <w:tc>
          <w:tcPr/>
          <w:p>
            <w:pPr>
              <w:pStyle w:val="Compact"/>
              <w:jc w:val="left"/>
            </w:pPr>
            <w:r>
              <w:t xml:space="preserve">16</w:t>
            </w:r>
          </w:p>
        </w:tc>
        <w:tc>
          <w:tcPr/>
          <w:p>
            <w:pPr>
              <w:pStyle w:val="Compact"/>
              <w:jc w:val="left"/>
            </w:pPr>
            <w:r>
              <w:t xml:space="preserve">I am not relying on the savings versus an Australian build to make it viable</w:t>
            </w:r>
          </w:p>
        </w:tc>
        <w:tc>
          <w:tcPr/>
          <w:p>
            <w:pPr>
              <w:pStyle w:val="Compact"/>
              <w:jc w:val="left"/>
            </w:pPr>
            <w:r>
              <w:t xml:space="preserve">☐</w:t>
            </w:r>
          </w:p>
        </w:tc>
      </w:tr>
    </w:tbl>
    <w:p>
      <w:pPr>
        <w:pStyle w:val="BodyText"/>
      </w:pPr>
      <w:r>
        <w:rPr>
          <w:bCs/>
          <w:b/>
        </w:rPr>
        <w:t xml:space="preserve">On 14 and 15.</w:t>
      </w:r>
      <w:r>
        <w:t xml:space="preserve"> </w:t>
      </w:r>
      <w:r>
        <w:t xml:space="preserve">These are not pessimism. They are the difference between a setback and a disaster. If you cannot tick both, the honest answer is that you are not ready yet, not that you are unlucky.</w:t>
      </w:r>
    </w:p>
    <w:p>
      <w:pPr>
        <w:pStyle w:val="BodyText"/>
      </w:pPr>
      <w:r>
        <w:rPr>
          <w:bCs/>
          <w:b/>
        </w:rPr>
        <w:t xml:space="preserve">On 16.</w:t>
      </w:r>
      <w:r>
        <w:t xml:space="preserve"> </w:t>
      </w:r>
      <w:r>
        <w:t xml:space="preserve">If the project only works at the direct import price, the project does not work. The margin between importing and buying locally is your contingency.</w:t>
      </w:r>
    </w:p>
    <w:p>
      <w:r>
        <w:pict>
          <v:rect style="width:0;height:1.5pt" o:hralign="center" o:hrstd="t" o:hr="t"/>
        </w:pict>
      </w:r>
    </w:p>
    <w:bookmarkEnd w:id="22"/>
    <w:bookmarkStart w:id="23" w:name="part-3-the-paperwork"/>
    <w:p>
      <w:pPr>
        <w:pStyle w:val="Heading2"/>
      </w:pPr>
      <w:r>
        <w:t xml:space="preserve">Part 3: The paperwork</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Check</w:t>
            </w:r>
          </w:p>
        </w:tc>
        <w:tc>
          <w:tcPr/>
          <w:p>
            <w:pPr>
              <w:pStyle w:val="Compact"/>
              <w:jc w:val="left"/>
            </w:pPr>
            <w:r>
              <w:t xml:space="preserve">Yes</w:t>
            </w:r>
          </w:p>
        </w:tc>
      </w:tr>
      <w:tr>
        <w:tc>
          <w:tcPr/>
          <w:p>
            <w:pPr>
              <w:pStyle w:val="Compact"/>
              <w:jc w:val="left"/>
            </w:pPr>
            <w:r>
              <w:t xml:space="preserve">17</w:t>
            </w:r>
          </w:p>
        </w:tc>
        <w:tc>
          <w:tcPr/>
          <w:p>
            <w:pPr>
              <w:pStyle w:val="Compact"/>
              <w:jc w:val="left"/>
            </w:pPr>
            <w:r>
              <w:t xml:space="preserve">Purchase order specifies every material as a number or named product</w:t>
            </w:r>
          </w:p>
        </w:tc>
        <w:tc>
          <w:tcPr/>
          <w:p>
            <w:pPr>
              <w:pStyle w:val="Compact"/>
              <w:jc w:val="left"/>
            </w:pPr>
            <w:r>
              <w:t xml:space="preserve">☐</w:t>
            </w:r>
          </w:p>
        </w:tc>
      </w:tr>
      <w:tr>
        <w:tc>
          <w:tcPr/>
          <w:p>
            <w:pPr>
              <w:pStyle w:val="Compact"/>
              <w:jc w:val="left"/>
            </w:pPr>
            <w:r>
              <w:t xml:space="preserve">18</w:t>
            </w:r>
          </w:p>
        </w:tc>
        <w:tc>
          <w:tcPr/>
          <w:p>
            <w:pPr>
              <w:pStyle w:val="Compact"/>
              <w:jc w:val="left"/>
            </w:pPr>
            <w:r>
              <w:t xml:space="preserve">No specification anywhere reads</w:t>
            </w:r>
            <w:r>
              <w:t xml:space="preserve"> </w:t>
            </w:r>
            <w:r>
              <w:t xml:space="preserve">“</w:t>
            </w:r>
            <w:r>
              <w:t xml:space="preserve">high quality</w:t>
            </w:r>
            <w:r>
              <w:t xml:space="preserve">”</w:t>
            </w:r>
            <w:r>
              <w:t xml:space="preserve"> </w:t>
            </w:r>
            <w:r>
              <w:t xml:space="preserve">or</w:t>
            </w:r>
            <w:r>
              <w:t xml:space="preserve"> </w:t>
            </w:r>
            <w:r>
              <w:t xml:space="preserve">“</w:t>
            </w:r>
            <w:r>
              <w:t xml:space="preserve">as agreed</w:t>
            </w:r>
            <w:r>
              <w:t xml:space="preserve">”</w:t>
            </w:r>
          </w:p>
        </w:tc>
        <w:tc>
          <w:tcPr/>
          <w:p>
            <w:pPr>
              <w:pStyle w:val="Compact"/>
              <w:jc w:val="left"/>
            </w:pPr>
            <w:r>
              <w:t xml:space="preserve">☐</w:t>
            </w:r>
          </w:p>
        </w:tc>
      </w:tr>
      <w:tr>
        <w:tc>
          <w:tcPr/>
          <w:p>
            <w:pPr>
              <w:pStyle w:val="Compact"/>
              <w:jc w:val="left"/>
            </w:pPr>
            <w:r>
              <w:t xml:space="preserve">19</w:t>
            </w:r>
          </w:p>
        </w:tc>
        <w:tc>
          <w:tcPr/>
          <w:p>
            <w:pPr>
              <w:pStyle w:val="Compact"/>
              <w:jc w:val="left"/>
            </w:pPr>
            <w:r>
              <w:t xml:space="preserve">Fittings schedule lists brand and model for every plumbing and electrical item</w:t>
            </w:r>
          </w:p>
        </w:tc>
        <w:tc>
          <w:tcPr/>
          <w:p>
            <w:pPr>
              <w:pStyle w:val="Compact"/>
              <w:jc w:val="left"/>
            </w:pPr>
            <w:r>
              <w:t xml:space="preserve">☐</w:t>
            </w:r>
          </w:p>
        </w:tc>
      </w:tr>
      <w:tr>
        <w:tc>
          <w:tcPr/>
          <w:p>
            <w:pPr>
              <w:pStyle w:val="Compact"/>
              <w:jc w:val="left"/>
            </w:pPr>
            <w:r>
              <w:t xml:space="preserve">20</w:t>
            </w:r>
          </w:p>
        </w:tc>
        <w:tc>
          <w:tcPr/>
          <w:p>
            <w:pPr>
              <w:pStyle w:val="Compact"/>
              <w:jc w:val="left"/>
            </w:pPr>
            <w:r>
              <w:t xml:space="preserve">I have checked those models against watermark.abcb.gov.au and eess.gov.au</w:t>
            </w:r>
          </w:p>
        </w:tc>
        <w:tc>
          <w:tcPr/>
          <w:p>
            <w:pPr>
              <w:pStyle w:val="Compact"/>
              <w:jc w:val="left"/>
            </w:pPr>
            <w:r>
              <w:t xml:space="preserve">☐</w:t>
            </w:r>
          </w:p>
        </w:tc>
      </w:tr>
      <w:tr>
        <w:tc>
          <w:tcPr/>
          <w:p>
            <w:pPr>
              <w:pStyle w:val="Compact"/>
              <w:jc w:val="left"/>
            </w:pPr>
            <w:r>
              <w:t xml:space="preserve">21</w:t>
            </w:r>
          </w:p>
        </w:tc>
        <w:tc>
          <w:tcPr/>
          <w:p>
            <w:pPr>
              <w:pStyle w:val="Compact"/>
              <w:jc w:val="left"/>
            </w:pPr>
            <w:r>
              <w:t xml:space="preserve">ChAFTA Certificate of Origin is required in writing</w:t>
            </w:r>
          </w:p>
        </w:tc>
        <w:tc>
          <w:tcPr/>
          <w:p>
            <w:pPr>
              <w:pStyle w:val="Compact"/>
              <w:jc w:val="left"/>
            </w:pPr>
            <w:r>
              <w:t xml:space="preserve">☐</w:t>
            </w:r>
          </w:p>
        </w:tc>
      </w:tr>
      <w:tr>
        <w:tc>
          <w:tcPr/>
          <w:p>
            <w:pPr>
              <w:pStyle w:val="Compact"/>
              <w:jc w:val="left"/>
            </w:pPr>
            <w:r>
              <w:t xml:space="preserve">22</w:t>
            </w:r>
          </w:p>
        </w:tc>
        <w:tc>
          <w:tcPr/>
          <w:p>
            <w:pPr>
              <w:pStyle w:val="Compact"/>
              <w:jc w:val="left"/>
            </w:pPr>
            <w:r>
              <w:t xml:space="preserve">Payment milestone tied to an independent pre-shipment inspection</w:t>
            </w:r>
          </w:p>
        </w:tc>
        <w:tc>
          <w:tcPr/>
          <w:p>
            <w:pPr>
              <w:pStyle w:val="Compact"/>
              <w:jc w:val="left"/>
            </w:pPr>
            <w:r>
              <w:t xml:space="preserve">☐</w:t>
            </w:r>
          </w:p>
        </w:tc>
      </w:tr>
      <w:tr>
        <w:tc>
          <w:tcPr/>
          <w:p>
            <w:pPr>
              <w:pStyle w:val="Compact"/>
              <w:jc w:val="left"/>
            </w:pPr>
            <w:r>
              <w:t xml:space="preserve">23</w:t>
            </w:r>
          </w:p>
        </w:tc>
        <w:tc>
          <w:tcPr/>
          <w:p>
            <w:pPr>
              <w:pStyle w:val="Compact"/>
              <w:jc w:val="left"/>
            </w:pPr>
            <w:r>
              <w:t xml:space="preserve">Shipment deadline is a specific date, not a lead time in days</w:t>
            </w:r>
          </w:p>
        </w:tc>
        <w:tc>
          <w:tcPr/>
          <w:p>
            <w:pPr>
              <w:pStyle w:val="Compact"/>
              <w:jc w:val="left"/>
            </w:pPr>
            <w:r>
              <w:t xml:space="preserve">☐</w:t>
            </w:r>
          </w:p>
        </w:tc>
      </w:tr>
      <w:tr>
        <w:tc>
          <w:tcPr/>
          <w:p>
            <w:pPr>
              <w:pStyle w:val="Compact"/>
              <w:jc w:val="left"/>
            </w:pPr>
            <w:r>
              <w:t xml:space="preserve">24</w:t>
            </w:r>
          </w:p>
        </w:tc>
        <w:tc>
          <w:tcPr/>
          <w:p>
            <w:pPr>
              <w:pStyle w:val="Compact"/>
              <w:jc w:val="left"/>
            </w:pPr>
            <w:r>
              <w:t xml:space="preserve">Shipping dimensions confirmed in writing and transport quoted against them</w:t>
            </w:r>
          </w:p>
        </w:tc>
        <w:tc>
          <w:tcPr/>
          <w:p>
            <w:pPr>
              <w:pStyle w:val="Compact"/>
              <w:jc w:val="left"/>
            </w:pPr>
            <w:r>
              <w:t xml:space="preserve">☐</w:t>
            </w:r>
          </w:p>
        </w:tc>
      </w:tr>
      <w:tr>
        <w:tc>
          <w:tcPr/>
          <w:p>
            <w:pPr>
              <w:pStyle w:val="Compact"/>
              <w:jc w:val="left"/>
            </w:pPr>
            <w:r>
              <w:t xml:space="preserve">25</w:t>
            </w:r>
          </w:p>
        </w:tc>
        <w:tc>
          <w:tcPr/>
          <w:p>
            <w:pPr>
              <w:pStyle w:val="Compact"/>
              <w:jc w:val="left"/>
            </w:pPr>
            <w:r>
              <w:t xml:space="preserve">Incoterm and named port stated</w:t>
            </w:r>
          </w:p>
        </w:tc>
        <w:tc>
          <w:tcPr/>
          <w:p>
            <w:pPr>
              <w:pStyle w:val="Compact"/>
              <w:jc w:val="left"/>
            </w:pPr>
            <w:r>
              <w:t xml:space="preserve">☐</w:t>
            </w:r>
          </w:p>
        </w:tc>
      </w:tr>
      <w:tr>
        <w:tc>
          <w:tcPr/>
          <w:p>
            <w:pPr>
              <w:pStyle w:val="Compact"/>
              <w:jc w:val="left"/>
            </w:pPr>
            <w:r>
              <w:t xml:space="preserve">26</w:t>
            </w:r>
          </w:p>
        </w:tc>
        <w:tc>
          <w:tcPr/>
          <w:p>
            <w:pPr>
              <w:pStyle w:val="Compact"/>
              <w:jc w:val="left"/>
            </w:pPr>
            <w:r>
              <w:t xml:space="preserve">A lawyer has reviewed the contract</w:t>
            </w:r>
          </w:p>
        </w:tc>
        <w:tc>
          <w:tcPr/>
          <w:p>
            <w:pPr>
              <w:pStyle w:val="Compact"/>
              <w:jc w:val="left"/>
            </w:pPr>
            <w:r>
              <w:t xml:space="preserve">☐</w:t>
            </w:r>
          </w:p>
        </w:tc>
      </w:tr>
    </w:tbl>
    <w:p>
      <w:r>
        <w:pict>
          <v:rect style="width:0;height:1.5pt" o:hralign="center" o:hrstd="t" o:hr="t"/>
        </w:pict>
      </w:r>
    </w:p>
    <w:bookmarkEnd w:id="23"/>
    <w:bookmarkStart w:id="24" w:name="part-4-the-platform"/>
    <w:p>
      <w:pPr>
        <w:pStyle w:val="Heading2"/>
      </w:pPr>
      <w:r>
        <w:t xml:space="preserve">Part 4: The platform</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Check</w:t>
            </w:r>
          </w:p>
        </w:tc>
        <w:tc>
          <w:tcPr/>
          <w:p>
            <w:pPr>
              <w:pStyle w:val="Compact"/>
              <w:jc w:val="left"/>
            </w:pPr>
            <w:r>
              <w:t xml:space="preserve">Yes</w:t>
            </w:r>
          </w:p>
        </w:tc>
      </w:tr>
      <w:tr>
        <w:tc>
          <w:tcPr/>
          <w:p>
            <w:pPr>
              <w:pStyle w:val="Compact"/>
              <w:jc w:val="left"/>
            </w:pPr>
            <w:r>
              <w:t xml:space="preserve">27</w:t>
            </w:r>
          </w:p>
        </w:tc>
        <w:tc>
          <w:tcPr/>
          <w:p>
            <w:pPr>
              <w:pStyle w:val="Compact"/>
              <w:jc w:val="left"/>
            </w:pPr>
            <w:r>
              <w:t xml:space="preserve">Payment is going through the platform, not by direct bank transfer</w:t>
            </w:r>
          </w:p>
        </w:tc>
        <w:tc>
          <w:tcPr/>
          <w:p>
            <w:pPr>
              <w:pStyle w:val="Compact"/>
              <w:jc w:val="left"/>
            </w:pPr>
            <w:r>
              <w:t xml:space="preserve">☐</w:t>
            </w:r>
          </w:p>
        </w:tc>
      </w:tr>
      <w:tr>
        <w:tc>
          <w:tcPr/>
          <w:p>
            <w:pPr>
              <w:pStyle w:val="Compact"/>
              <w:jc w:val="left"/>
            </w:pPr>
            <w:r>
              <w:t xml:space="preserve">28</w:t>
            </w:r>
          </w:p>
        </w:tc>
        <w:tc>
          <w:tcPr/>
          <w:p>
            <w:pPr>
              <w:pStyle w:val="Compact"/>
              <w:jc w:val="left"/>
            </w:pPr>
            <w:r>
              <w:t xml:space="preserve">I have checked the supplier’s Trade Assurance limit covers my order value</w:t>
            </w:r>
          </w:p>
        </w:tc>
        <w:tc>
          <w:tcPr/>
          <w:p>
            <w:pPr>
              <w:pStyle w:val="Compact"/>
              <w:jc w:val="left"/>
            </w:pPr>
            <w:r>
              <w:t xml:space="preserve">☐</w:t>
            </w:r>
          </w:p>
        </w:tc>
      </w:tr>
      <w:tr>
        <w:tc>
          <w:tcPr/>
          <w:p>
            <w:pPr>
              <w:pStyle w:val="Compact"/>
              <w:jc w:val="left"/>
            </w:pPr>
            <w:r>
              <w:t xml:space="preserve">29</w:t>
            </w:r>
          </w:p>
        </w:tc>
        <w:tc>
          <w:tcPr/>
          <w:p>
            <w:pPr>
              <w:pStyle w:val="Compact"/>
              <w:jc w:val="left"/>
            </w:pPr>
            <w:r>
              <w:t xml:space="preserve">I understand the escrow releases on shipment, not on delivery</w:t>
            </w:r>
          </w:p>
        </w:tc>
        <w:tc>
          <w:tcPr/>
          <w:p>
            <w:pPr>
              <w:pStyle w:val="Compact"/>
              <w:jc w:val="left"/>
            </w:pPr>
            <w:r>
              <w:t xml:space="preserve">☐</w:t>
            </w:r>
          </w:p>
        </w:tc>
      </w:tr>
      <w:tr>
        <w:tc>
          <w:tcPr/>
          <w:p>
            <w:pPr>
              <w:pStyle w:val="Compact"/>
              <w:jc w:val="left"/>
            </w:pPr>
            <w:r>
              <w:t xml:space="preserve">30</w:t>
            </w:r>
          </w:p>
        </w:tc>
        <w:tc>
          <w:tcPr/>
          <w:p>
            <w:pPr>
              <w:pStyle w:val="Compact"/>
              <w:jc w:val="left"/>
            </w:pPr>
            <w:r>
              <w:t xml:space="preserve">I know the dispute window and have it in my calendar</w:t>
            </w:r>
          </w:p>
        </w:tc>
        <w:tc>
          <w:tcPr/>
          <w:p>
            <w:pPr>
              <w:pStyle w:val="Compact"/>
              <w:jc w:val="left"/>
            </w:pPr>
            <w:r>
              <w:t xml:space="preserve">☐</w:t>
            </w:r>
          </w:p>
        </w:tc>
      </w:tr>
    </w:tbl>
    <w:p>
      <w:pPr>
        <w:pStyle w:val="BodyText"/>
      </w:pPr>
      <w:r>
        <w:rPr>
          <w:bCs/>
          <w:b/>
        </w:rPr>
        <w:t xml:space="preserve">On 27.</w:t>
      </w:r>
      <w:r>
        <w:t xml:space="preserve"> </w:t>
      </w:r>
      <w:r>
        <w:t xml:space="preserve">Suppliers routinely ask for direct transfer to avoid platform fees. Paying outside the platform voids Trade Assurance entirely, even if the supplier displays the badge. This is the single easiest way to lose all your protection, and it happens because it feels like a small favour.</w:t>
      </w:r>
    </w:p>
    <w:p>
      <w:r>
        <w:pict>
          <v:rect style="width:0;height:1.5pt" o:hralign="center" o:hrstd="t" o:hr="t"/>
        </w:pict>
      </w:r>
    </w:p>
    <w:bookmarkEnd w:id="24"/>
    <w:bookmarkStart w:id="25" w:name="part-5-sit-on-it"/>
    <w:p>
      <w:pPr>
        <w:pStyle w:val="Heading2"/>
      </w:pPr>
      <w:r>
        <w:t xml:space="preserve">Part 5: Sit on it</w:t>
      </w:r>
    </w:p>
    <w:p>
      <w:pPr>
        <w:pStyle w:val="FirstParagraph"/>
      </w:pPr>
      <w:r>
        <w:t xml:space="preserve">Answer honestly, in writing.</w:t>
      </w:r>
    </w:p>
    <w:p>
      <w:pPr>
        <w:pStyle w:val="BodyText"/>
      </w:pPr>
      <w:r>
        <w:rPr>
          <w:bCs/>
          <w:b/>
        </w:rPr>
        <w:t xml:space="preserve">Have I been told pricing expires soon, or that this is a special rate?</w:t>
      </w:r>
    </w:p>
    <w:p>
      <w:r>
        <w:pict>
          <v:rect style="width:0;height:1.5pt" o:hralign="center" o:hrstd="t" o:hr="t"/>
        </w:pict>
      </w:r>
    </w:p>
    <w:p>
      <w:pPr>
        <w:pStyle w:val="BlockText"/>
      </w:pPr>
      <w:r>
        <w:t xml:space="preserve">Manufactured urgency is the oldest tool there is. A supplier who will lose your business over 48 hours was never going to be a good long-term partner. If the price genuinely moves, it moves.</w:t>
      </w:r>
    </w:p>
    <w:p>
      <w:pPr>
        <w:pStyle w:val="FirstParagraph"/>
      </w:pPr>
      <w:r>
        <w:rPr>
          <w:bCs/>
          <w:b/>
        </w:rPr>
        <w:t xml:space="preserve">What is the single biggest thing that could go wrong here, and what happens if it does?</w:t>
      </w:r>
    </w:p>
    <w:p>
      <w:r>
        <w:pict>
          <v:rect style="width:0;height:1.5pt" o:hralign="center" o:hrstd="t" o:hr="t"/>
        </w:pict>
      </w:r>
    </w:p>
    <w:p>
      <w:pPr>
        <w:pStyle w:val="FirstParagraph"/>
      </w:pPr>
      <w:r>
        <w:rPr>
          <w:bCs/>
          <w:b/>
        </w:rPr>
        <w:t xml:space="preserve">Who have I discussed this with who has no financial interest in it?</w:t>
      </w:r>
    </w:p>
    <w:p>
      <w:r>
        <w:pict>
          <v:rect style="width:0;height:1.5pt" o:hralign="center" o:hrstd="t" o:hr="t"/>
        </w:pict>
      </w:r>
    </w:p>
    <w:p>
      <w:pPr>
        <w:pStyle w:val="FirstParagraph"/>
      </w:pPr>
      <w:r>
        <w:rPr>
          <w:bCs/>
          <w:b/>
        </w:rPr>
        <w:t xml:space="preserve">If this goes badly, who do I chase, and in which country’s courts?</w:t>
      </w:r>
    </w:p>
    <w:p>
      <w:r>
        <w:pict>
          <v:rect style="width:0;height:1.5pt" o:hralign="center" o:hrstd="t" o:hr="t"/>
        </w:pict>
      </w:r>
    </w:p>
    <w:p>
      <w:r>
        <w:pict>
          <v:rect style="width:0;height:1.5pt" o:hralign="center" o:hrstd="t" o:hr="t"/>
        </w:pict>
      </w:r>
    </w:p>
    <w:bookmarkEnd w:id="25"/>
    <w:bookmarkStart w:id="26" w:name="the-decision"/>
    <w:p>
      <w:pPr>
        <w:pStyle w:val="Heading2"/>
      </w:pPr>
      <w:r>
        <w:t xml:space="preserve">The decision</w:t>
      </w:r>
    </w:p>
    <w:p>
      <w:pPr>
        <w:pStyle w:val="FirstParagraph"/>
      </w:pPr>
      <w:r>
        <w:rPr>
          <w:bCs/>
          <w:b/>
        </w:rPr>
        <w:t xml:space="preserve">Total boxes ticked: ______ / 30</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Result</w:t>
            </w:r>
          </w:p>
        </w:tc>
        <w:tc>
          <w:tcPr/>
          <w:p>
            <w:pPr>
              <w:pStyle w:val="Compact"/>
              <w:jc w:val="left"/>
            </w:pPr>
            <w:r>
              <w:t xml:space="preserve">Action</w:t>
            </w:r>
          </w:p>
        </w:tc>
      </w:tr>
      <w:tr>
        <w:tc>
          <w:tcPr/>
          <w:p>
            <w:pPr>
              <w:pStyle w:val="Compact"/>
              <w:jc w:val="left"/>
            </w:pPr>
            <w:r>
              <w:t xml:space="preserve">All 30</w:t>
            </w:r>
          </w:p>
        </w:tc>
        <w:tc>
          <w:tcPr/>
          <w:p>
            <w:pPr>
              <w:pStyle w:val="Compact"/>
              <w:jc w:val="left"/>
            </w:pPr>
            <w:r>
              <w:t xml:space="preserve">Proceed.</w:t>
            </w:r>
          </w:p>
        </w:tc>
      </w:tr>
      <w:tr>
        <w:tc>
          <w:tcPr/>
          <w:p>
            <w:pPr>
              <w:pStyle w:val="Compact"/>
              <w:jc w:val="left"/>
            </w:pPr>
            <w:r>
              <w:t xml:space="preserve">27 to 29</w:t>
            </w:r>
          </w:p>
        </w:tc>
        <w:tc>
          <w:tcPr/>
          <w:p>
            <w:pPr>
              <w:pStyle w:val="Compact"/>
              <w:jc w:val="left"/>
            </w:pPr>
            <w:r>
              <w:t xml:space="preserve">Close the gaps first. They will take days, not months.</w:t>
            </w:r>
          </w:p>
        </w:tc>
      </w:tr>
      <w:tr>
        <w:tc>
          <w:tcPr/>
          <w:p>
            <w:pPr>
              <w:pStyle w:val="Compact"/>
              <w:jc w:val="left"/>
            </w:pPr>
            <w:r>
              <w:t xml:space="preserve">Below 27</w:t>
            </w:r>
          </w:p>
        </w:tc>
        <w:tc>
          <w:tcPr/>
          <w:p>
            <w:pPr>
              <w:pStyle w:val="Compact"/>
              <w:jc w:val="left"/>
            </w:pPr>
            <w:r>
              <w:t xml:space="preserve">Not yet. Work the list.</w:t>
            </w:r>
          </w:p>
        </w:tc>
      </w:tr>
      <w:tr>
        <w:tc>
          <w:tcPr/>
          <w:p>
            <w:pPr>
              <w:pStyle w:val="Compact"/>
              <w:jc w:val="left"/>
            </w:pPr>
            <w:r>
              <w:t xml:space="preserve">Any hard stop blank</w:t>
            </w:r>
          </w:p>
        </w:tc>
        <w:tc>
          <w:tcPr/>
          <w:p>
            <w:pPr>
              <w:pStyle w:val="Compact"/>
              <w:jc w:val="left"/>
            </w:pPr>
            <w:r>
              <w:t xml:space="preserve">Do not proceed under any circumstances.</w:t>
            </w:r>
          </w:p>
        </w:tc>
      </w:tr>
    </w:tbl>
    <w:p>
      <w:r>
        <w:pict>
          <v:rect style="width:0;height:1.5pt" o:hralign="center" o:hrstd="t" o:hr="t"/>
        </w:pict>
      </w:r>
    </w:p>
    <w:p>
      <w:pPr>
        <w:pStyle w:val="FirstParagraph"/>
      </w:pPr>
      <w:r>
        <w:rPr>
          <w:bCs/>
          <w:b/>
        </w:rPr>
        <w:t xml:space="preserve">I have completed this checklist honestly.</w:t>
      </w:r>
    </w:p>
    <w:p>
      <w:pPr>
        <w:pStyle w:val="BodyText"/>
      </w:pPr>
      <w:r>
        <w:t xml:space="preserve">Signed: ________________ Date: ____________</w:t>
      </w:r>
    </w:p>
    <w:p>
      <w:r>
        <w:pict>
          <v:rect style="width:0;height:1.5pt" o:hralign="center" o:hrstd="t" o:hr="t"/>
        </w:pict>
      </w:r>
    </w:p>
    <w:bookmarkEnd w:id="26"/>
    <w:bookmarkStart w:id="27" w:name="if-you-are-not-ticking-the-boxes"/>
    <w:p>
      <w:pPr>
        <w:pStyle w:val="Heading2"/>
      </w:pPr>
      <w:r>
        <w:t xml:space="preserve">If you are not ticking the boxes</w:t>
      </w:r>
    </w:p>
    <w:p>
      <w:pPr>
        <w:pStyle w:val="FirstParagraph"/>
      </w:pPr>
      <w:r>
        <w:t xml:space="preserve">That is a legitimate outcome and it is what this sheet is for.</w:t>
      </w:r>
    </w:p>
    <w:p>
      <w:pPr>
        <w:pStyle w:val="BodyText"/>
      </w:pPr>
      <w:r>
        <w:t xml:space="preserve">The options are not</w:t>
      </w:r>
      <w:r>
        <w:t xml:space="preserve"> </w:t>
      </w:r>
      <w:r>
        <w:t xml:space="preserve">“</w:t>
      </w:r>
      <w:r>
        <w:t xml:space="preserve">import this unit</w:t>
      </w:r>
      <w:r>
        <w:t xml:space="preserve">”</w:t>
      </w:r>
      <w:r>
        <w:t xml:space="preserve"> </w:t>
      </w:r>
      <w:r>
        <w:t xml:space="preserve">or</w:t>
      </w:r>
      <w:r>
        <w:t xml:space="preserve"> </w:t>
      </w:r>
      <w:r>
        <w:t xml:space="preserve">“</w:t>
      </w:r>
      <w:r>
        <w:t xml:space="preserve">give up.</w:t>
      </w:r>
      <w:r>
        <w:t xml:space="preserve">”</w:t>
      </w:r>
      <w:r>
        <w:t xml:space="preserve"> </w:t>
      </w:r>
      <w:r>
        <w:t xml:space="preserve">They are:</w:t>
      </w:r>
    </w:p>
    <w:p>
      <w:pPr>
        <w:numPr>
          <w:ilvl w:val="0"/>
          <w:numId w:val="1001"/>
        </w:numPr>
        <w:pStyle w:val="Compact"/>
      </w:pPr>
      <w:r>
        <w:t xml:space="preserve">Buy the same product from an Australian importer, who carries the border risk and is subject to Australian Consumer Law</w:t>
      </w:r>
    </w:p>
    <w:p>
      <w:pPr>
        <w:numPr>
          <w:ilvl w:val="0"/>
          <w:numId w:val="1001"/>
        </w:numPr>
        <w:pStyle w:val="Compact"/>
      </w:pPr>
      <w:r>
        <w:t xml:space="preserve">Buy Australian built</w:t>
      </w:r>
    </w:p>
    <w:p>
      <w:pPr>
        <w:numPr>
          <w:ilvl w:val="0"/>
          <w:numId w:val="1001"/>
        </w:numPr>
        <w:pStyle w:val="Compact"/>
      </w:pPr>
      <w:r>
        <w:t xml:space="preserve">Wait, do the site work properly, and revisit in three months with better information</w:t>
      </w:r>
    </w:p>
    <w:p>
      <w:pPr>
        <w:pStyle w:val="FirstParagraph"/>
      </w:pPr>
      <w:r>
        <w:t xml:space="preserve">None of those is failure. Losing thirty thousand dollars to a supplier you never verified, on a block where you were never allowed to put the thing, is failure.</w:t>
      </w:r>
    </w:p>
    <w:p>
      <w:r>
        <w:pict>
          <v:rect style="width:0;height:1.5pt" o:hralign="center" o:hrstd="t" o:hr="t"/>
        </w:pict>
      </w:r>
    </w:p>
    <w:p>
      <w:pPr>
        <w:pStyle w:val="FirstParagraph"/>
      </w:pPr>
      <w:r>
        <w:rPr>
          <w:bCs/>
          <w:b/>
        </w:rPr>
        <w:t xml:space="preserve">Disclaimer.</w:t>
      </w:r>
      <w:r>
        <w:t xml:space="preserve"> </w:t>
      </w:r>
      <w:r>
        <w:t xml:space="preserve">This checklist is general information only. It is not legal, financial, building, engineering or customs advice, and it is not a substitute for professional advice. Completing it does not guarantee any outcome, does not verify any supplier, and does not constitute due diligence. It is a prompt to obtain proper advice, not a replacement for it. Requirements referenced are summarised and paraphrased from publicly available sources current as at July 2026 and change without notice. You must independently verify all requirements and obtain your own professional advice before entering any contract, paying any deposit or importing any goods. To the extent permitted by law, the publisher excludes all liability for loss arising from reliance on this checklist.</w:t>
      </w:r>
    </w:p>
    <w:bookmarkEnd w:id="27"/>
    <w:sectPr>
      <w:headerReference w:type="default" r:id="rId9"/>
      <w:footerReference w:type="default" r:id="rId1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95959"/>
        <w:sz w:val="16"/>
      </w:rPr>
      <w:t>Tiny Home Guru Oz  ·  tinyhomeguruoz.gumroad.com</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2" w:space="4" w:color="C9A227"/>
      </w:pBdr>
    </w:pPr>
    <w:r/>
    <w:r>
      <w:drawing>
        <wp:inline xmlns:a="http://schemas.openxmlformats.org/drawingml/2006/main" xmlns:pic="http://schemas.openxmlformats.org/drawingml/2006/picture">
          <wp:extent cx="353148" cy="384048"/>
          <wp:docPr id="1" name="Picture 1"/>
          <wp:cNvGraphicFramePr>
            <a:graphicFrameLocks noChangeAspect="1"/>
          </wp:cNvGraphicFramePr>
          <a:graphic>
            <a:graphicData uri="http://schemas.openxmlformats.org/drawingml/2006/picture">
              <pic:pic>
                <pic:nvPicPr>
                  <pic:cNvPr id="0" name="logo_160.png"/>
                  <pic:cNvPicPr/>
                </pic:nvPicPr>
                <pic:blipFill>
                  <a:blip r:embed="rId1"/>
                  <a:stretch>
                    <a:fillRect/>
                  </a:stretch>
                </pic:blipFill>
                <pic:spPr>
                  <a:xfrm>
                    <a:off x="0" y="0"/>
                    <a:ext cx="353148" cy="384048"/>
                  </a:xfrm>
                  <a:prstGeom prst="rect"/>
                </pic:spPr>
              </pic:pic>
            </a:graphicData>
          </a:graphic>
        </wp:inline>
      </w:drawing>
    </w:r>
    <w:r>
      <w:rPr>
        <w:b/>
        <w:color w:val="14213D"/>
        <w:sz w:val="22"/>
      </w:rPr>
      <w:t xml:space="preserve">    Tiny Home Guru Oz</w:t>
    </w:r>
    <w:r>
      <w:rPr>
        <w:color w:val="595959"/>
        <w:sz w:val="18"/>
      </w:rPr>
      <w:t xml:space="preserve">   ·   Australian Buyer's Toolkit</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Georgia" w:eastAsia="Georgia" w:hAnsi="Georgia"/>
        <w:sz w:val="21"/>
        <w:szCs w:val="21"/>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40" w:line="288" w:lineRule="auto"/>
      <w:spacing w:after="140" w:line="288" w:lineRule="auto"/>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spacing w:after="80"/>
      <w:pBdr>
        <w:bottom w:color="C9A227" w:space="8" w:sz="18" w:val="single"/>
      </w:pBdr>
      <w:spacing w:after="80"/>
      <w:pBdr>
        <w:bottom w:color="C9A227" w:space="8" w:sz="18" w:val="single"/>
      </w:pBdr>
      <w:spacing w:after="60"/>
      <w:pBdr>
        <w:bottom w:color="C9A227" w:space="8" w:sz="18" w:val="single"/>
      </w:pBdr>
      <w:keepNext/>
      <w:keepLines/>
      <w:spacing w:after="240" w:before="480"/>
      <w:jc w:val="center"/>
    </w:pPr>
    <w:rPr>
      <w:color w:val="14213D"/>
      <w:sz w:val="52"/>
      <w:szCs w:val="52"/>
      <w:b w:val="0"/>
      <w:rFonts w:ascii="Georgia" w:cs="Georgia" w:eastAsia="Georgia" w:hAnsi="Georgia"/>
      <w:rFonts w:ascii="Georgia" w:cs="Georgia" w:eastAsia="Georgia" w:hAnsi="Georgia"/>
      <w:rFonts w:ascii="Georgia" w:cs="Georgia" w:eastAsia="Georgia" w:hAnsi="Georgia"/>
      <w:rFonts w:ascii="Georgia" w:cs="Georgia" w:eastAsia="Georgia" w:hAnsi="Georgia"/>
      <w:sz w:val="21"/>
      <w:szCs w:val="21"/>
      <w:rFonts w:ascii="Georgia" w:cs="Georgia" w:eastAsia="Georgia" w:hAnsi="Georgia"/>
      <w:color w:val="14213D"/>
      <w:sz w:val="52"/>
      <w:szCs w:val="52"/>
      <w:b w:val="0"/>
      <w:rFonts w:ascii="Georgia" w:cs="Georgia" w:eastAsia="Georgia" w:hAnsi="Georgia"/>
      <w:rFonts w:ascii="Georgia" w:cs="Georgia" w:eastAsia="Georgia" w:hAnsi="Georgia"/>
      <w:rFonts w:ascii="Georgia" w:cs="Georgia" w:eastAsia="Georgia" w:hAnsi="Georgia"/>
      <w:rFonts w:ascii="Georgia" w:cs="Georgia" w:eastAsia="Georgia" w:hAnsi="Georgia"/>
      <w:sz w:val="21"/>
      <w:szCs w:val="21"/>
      <w:rFonts w:ascii="Georgia" w:cs="Georgia" w:eastAsia="Georgia" w:hAnsi="Georgia"/>
      <w:rFonts w:ascii="Georgia" w:hAnsi="Georgia"/>
      <w:color w:val="14213D"/>
      <w:sz w:val="52"/>
      <w:szCs w:val="52"/>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color w:val="595959"/>
      <w:sz w:val="17"/>
      <w:i/>
      <w:rFonts w:ascii="Arial" w:cs="Arial" w:eastAsia="Arial" w:hAnsi="Arial"/>
      <w:color w:val="595959"/>
      <w:sz w:val="17"/>
      <w:i/>
      <w:rFonts w:ascii="Arial" w:cs="Arial" w:eastAsia="Arial" w:hAnsi="Arial"/>
      <w:rFonts w:ascii="Arial" w:hAnsi="Arial"/>
      <w:color w:val="595959"/>
      <w:sz w:val="17"/>
      <w:i/>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spacing w:after="120" w:before="360"/>
      <w:pBdr>
        <w:bottom w:color="14213D" w:space="6" w:sz="12" w:val="single"/>
      </w:pBdr>
      <w:spacing w:after="120" w:before="360"/>
      <w:pBdr>
        <w:bottom w:color="14213D" w:space="6" w:sz="12" w:val="single"/>
      </w:pBdr>
      <w:spacing w:after="120" w:before="360"/>
      <w:pBdr>
        <w:bottom w:color="14213D" w:space="6" w:sz="12" w:val="single"/>
      </w:pBdr>
      <w:keepNext/>
      <w:keepLines/>
      <w:spacing w:after="0" w:before="480"/>
      <w:outlineLvl w:val="0"/>
    </w:pPr>
    <w:rPr>
      <w:color w:val="14213D"/>
      <w:sz w:val="34"/>
      <w:szCs w:val="34"/>
      <w:b w:val="0"/>
      <w:rFonts w:ascii="Georgia" w:cs="Georgia" w:eastAsia="Georgia" w:hAnsi="Georgia"/>
      <w:color w:val="14213D"/>
      <w:sz w:val="34"/>
      <w:szCs w:val="34"/>
      <w:b w:val="0"/>
      <w:rFonts w:ascii="Georgia" w:cs="Georgia" w:eastAsia="Georgia" w:hAnsi="Georgia"/>
      <w:rFonts w:ascii="Georgia" w:hAnsi="Georgia"/>
      <w:color w:val="14213D"/>
      <w:sz w:val="34"/>
      <w:szCs w:val="34"/>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spacing w:after="100" w:before="300"/>
      <w:spacing w:after="100" w:before="300"/>
      <w:spacing w:after="100" w:before="300"/>
      <w:keepNext/>
      <w:keepLines/>
      <w:spacing w:after="0" w:before="200"/>
      <w:outlineLvl w:val="1"/>
    </w:pPr>
    <w:rPr>
      <w:color w:val="14213D"/>
      <w:sz w:val="26"/>
      <w:szCs w:val="26"/>
      <w:b w:val="0"/>
      <w:rFonts w:ascii="Georgia" w:cs="Georgia" w:eastAsia="Georgia" w:hAnsi="Georgia"/>
      <w:color w:val="14213D"/>
      <w:sz w:val="26"/>
      <w:szCs w:val="26"/>
      <w:b w:val="0"/>
      <w:rFonts w:ascii="Georgia" w:cs="Georgia" w:eastAsia="Georgia" w:hAnsi="Georgia"/>
      <w:rFonts w:ascii="Georgia" w:hAnsi="Georgia"/>
      <w:color w:val="14213D"/>
      <w:sz w:val="26"/>
      <w:szCs w:val="26"/>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spacing w:after="80" w:before="240"/>
      <w:spacing w:after="80" w:before="240"/>
      <w:spacing w:after="80" w:before="240"/>
      <w:keepNext/>
      <w:keepLines/>
      <w:spacing w:after="0" w:before="200"/>
      <w:outlineLvl w:val="2"/>
    </w:pPr>
    <w:rPr>
      <w:color w:val="14213D"/>
      <w:sz w:val="22"/>
      <w:szCs w:val="22"/>
      <w:b/>
      <w:rFonts w:ascii="Georgia" w:cs="Georgia" w:eastAsia="Georgia" w:hAnsi="Georgia"/>
      <w:color w:val="14213D"/>
      <w:sz w:val="22"/>
      <w:szCs w:val="22"/>
      <w:b/>
      <w:rFonts w:ascii="Georgia" w:cs="Georgia" w:eastAsia="Georgia" w:hAnsi="Georgia"/>
      <w:rFonts w:ascii="Georgia" w:hAnsi="Georgia"/>
      <w:color w:val="14213D"/>
      <w:sz w:val="22"/>
      <w:szCs w:val="22"/>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pBdr>
        <w:left w:color="C9A227" w:space="10" w:sz="18" w:val="single"/>
      </w:pBdr>
      <w:ind w:left="340"/>
      <w:spacing w:after="120" w:before="120"/>
      <w:pBdr>
        <w:left w:color="C9A227" w:space="10" w:sz="18" w:val="single"/>
      </w:pBdr>
      <w:ind w:left="340"/>
      <w:spacing w:after="120" w:before="120"/>
      <w:pBdr>
        <w:left w:color="C9A227" w:space="10" w:sz="18" w:val="single"/>
      </w:pBdr>
      <w:ind w:left="340"/>
      <w:spacing w:after="100" w:before="100"/>
      <w:ind w:firstLine="0" w:left="480" w:right="480"/>
    </w:pPr>
    <w:rPr>
      <w:color w:val="333333"/>
      <w:sz w:val="20"/>
      <w:rFonts w:ascii="Georgia" w:cs="Georgia" w:eastAsia="Georgia" w:hAnsi="Georgia"/>
      <w:color w:val="333333"/>
      <w:sz w:val="20"/>
      <w:rFonts w:ascii="Georgia" w:cs="Georgia" w:eastAsia="Georgia" w:hAnsi="Georgia"/>
      <w:rFonts w:ascii="Georgia" w:hAnsi="Georgia"/>
      <w:color w:val="333333"/>
      <w:sz w:val="20"/>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Pre-Deposit Go / No-Go</dc:title>
  <dc:creator/>
  <cp:keywords/>
  <dcterms:created xsi:type="dcterms:W3CDTF">2026-07-23T09:28:08Z</dcterms:created>
  <dcterms:modified xsi:type="dcterms:W3CDTF">2026-07-23T09:28:08Z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Australian Tiny Home Buyer's Toolkit | Version 1.0 | July 2026</vt:lpwstr>
  </property>
</Properties>
</file>